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41BB" w14:textId="77777777" w:rsidR="00F3715E" w:rsidRDefault="00F3715E" w:rsidP="00F3715E">
      <w:pPr>
        <w:pStyle w:val="Title"/>
        <w:spacing w:before="240" w:after="240"/>
        <w:jc w:val="left"/>
      </w:pPr>
      <w:r>
        <w:rPr>
          <w:bCs/>
          <w:noProof/>
          <w:lang w:val="fr"/>
        </w:rPr>
        <w:drawing>
          <wp:inline distT="0" distB="0" distL="0" distR="0" wp14:anchorId="779E2451" wp14:editId="08E43E00">
            <wp:extent cx="3600450" cy="447675"/>
            <wp:effectExtent l="0" t="0" r="0" b="9525"/>
            <wp:docPr id="2" name="Picture 2"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32B639B8" w14:textId="591BA396" w:rsidR="00974A4C" w:rsidRPr="004D78EE" w:rsidRDefault="00974A4C" w:rsidP="00F3715E">
      <w:pPr>
        <w:pStyle w:val="Title"/>
        <w:spacing w:before="240" w:after="240"/>
        <w:jc w:val="left"/>
        <w:rPr>
          <w:b w:val="0"/>
          <w:lang w:val="fr-CA"/>
        </w:rPr>
      </w:pPr>
      <w:r>
        <w:rPr>
          <w:bCs/>
          <w:lang w:val="fr"/>
        </w:rPr>
        <w:t>Commission de révision de l</w:t>
      </w:r>
      <w:r w:rsidR="00842016">
        <w:rPr>
          <w:bCs/>
          <w:lang w:val="fr"/>
        </w:rPr>
        <w:t>’</w:t>
      </w:r>
      <w:r>
        <w:rPr>
          <w:bCs/>
          <w:lang w:val="fr"/>
        </w:rPr>
        <w:t>évaluation foncière</w:t>
      </w:r>
    </w:p>
    <w:p w14:paraId="30868685" w14:textId="77777777" w:rsidR="005C27EB" w:rsidRPr="00842016" w:rsidRDefault="005C27EB" w:rsidP="005C27EB">
      <w:pPr>
        <w:rPr>
          <w:lang w:val="fr-CA"/>
        </w:rPr>
      </w:pPr>
    </w:p>
    <w:p w14:paraId="55AD6EC9" w14:textId="7B77F264" w:rsidR="00974A4C" w:rsidRDefault="00974A4C" w:rsidP="003B37D7">
      <w:pPr>
        <w:pStyle w:val="Heading1"/>
        <w:jc w:val="center"/>
        <w:rPr>
          <w:sz w:val="28"/>
          <w:szCs w:val="28"/>
          <w:lang w:val="fr"/>
        </w:rPr>
      </w:pPr>
      <w:r w:rsidRPr="003B37D7">
        <w:rPr>
          <w:sz w:val="28"/>
          <w:szCs w:val="28"/>
          <w:lang w:val="fr"/>
        </w:rPr>
        <w:t>Directive de pratique sur les conférences en vue d</w:t>
      </w:r>
      <w:r w:rsidR="00842016" w:rsidRPr="003B37D7">
        <w:rPr>
          <w:sz w:val="28"/>
          <w:szCs w:val="28"/>
          <w:lang w:val="fr"/>
        </w:rPr>
        <w:t>’</w:t>
      </w:r>
      <w:r w:rsidRPr="003B37D7">
        <w:rPr>
          <w:sz w:val="28"/>
          <w:szCs w:val="28"/>
          <w:lang w:val="fr"/>
        </w:rPr>
        <w:t xml:space="preserve">un règlement amiable </w:t>
      </w:r>
      <w:r w:rsidR="00842016" w:rsidRPr="003B37D7">
        <w:rPr>
          <w:sz w:val="28"/>
          <w:szCs w:val="28"/>
          <w:lang w:val="fr"/>
        </w:rPr>
        <w:t>–</w:t>
      </w:r>
      <w:r w:rsidRPr="003B37D7">
        <w:rPr>
          <w:sz w:val="28"/>
          <w:szCs w:val="28"/>
          <w:lang w:val="fr"/>
        </w:rPr>
        <w:t xml:space="preserve"> Mise à jour</w:t>
      </w:r>
    </w:p>
    <w:p w14:paraId="32231A06" w14:textId="5DD2231A" w:rsidR="003B37D7" w:rsidRPr="003B37D7" w:rsidRDefault="003B37D7" w:rsidP="003B37D7">
      <w:pPr>
        <w:jc w:val="center"/>
        <w:rPr>
          <w:rFonts w:ascii="Arial" w:hAnsi="Arial" w:cs="Arial"/>
          <w:lang w:val="fr"/>
        </w:rPr>
      </w:pPr>
      <w:r>
        <w:rPr>
          <w:rFonts w:ascii="Arial" w:hAnsi="Arial" w:cs="Arial"/>
          <w:lang w:val="fr"/>
        </w:rPr>
        <w:t>(</w:t>
      </w:r>
      <w:proofErr w:type="spellStart"/>
      <w:r>
        <w:rPr>
          <w:rFonts w:ascii="Arial" w:hAnsi="Arial" w:cs="Arial"/>
          <w:lang w:val="fr"/>
        </w:rPr>
        <w:t>Available</w:t>
      </w:r>
      <w:proofErr w:type="spellEnd"/>
      <w:r>
        <w:rPr>
          <w:rFonts w:ascii="Arial" w:hAnsi="Arial" w:cs="Arial"/>
          <w:lang w:val="fr"/>
        </w:rPr>
        <w:t xml:space="preserve"> in English)</w:t>
      </w:r>
    </w:p>
    <w:p w14:paraId="3BFB3F98" w14:textId="206051A4" w:rsidR="00974A4C" w:rsidRPr="00842016" w:rsidRDefault="00A101B8" w:rsidP="00F3715E">
      <w:pPr>
        <w:pStyle w:val="Title"/>
        <w:spacing w:before="240" w:after="240"/>
        <w:jc w:val="left"/>
        <w:rPr>
          <w:bCs/>
          <w:lang w:val="fr-CA"/>
        </w:rPr>
      </w:pPr>
      <w:r>
        <w:rPr>
          <w:bCs/>
          <w:lang w:val="fr"/>
        </w:rPr>
        <w:t>Prise d</w:t>
      </w:r>
      <w:r w:rsidR="00842016">
        <w:rPr>
          <w:bCs/>
          <w:lang w:val="fr"/>
        </w:rPr>
        <w:t>’</w:t>
      </w:r>
      <w:r>
        <w:rPr>
          <w:bCs/>
          <w:lang w:val="fr"/>
        </w:rPr>
        <w:t>effet</w:t>
      </w:r>
      <w:r w:rsidR="00842016">
        <w:rPr>
          <w:bCs/>
          <w:lang w:val="fr"/>
        </w:rPr>
        <w:t> </w:t>
      </w:r>
      <w:r>
        <w:rPr>
          <w:bCs/>
          <w:lang w:val="fr"/>
        </w:rPr>
        <w:t>: 1</w:t>
      </w:r>
      <w:r>
        <w:rPr>
          <w:bCs/>
          <w:vertAlign w:val="superscript"/>
          <w:lang w:val="fr"/>
        </w:rPr>
        <w:t>er</w:t>
      </w:r>
      <w:r w:rsidR="00842016">
        <w:rPr>
          <w:bCs/>
          <w:lang w:val="fr"/>
        </w:rPr>
        <w:t> </w:t>
      </w:r>
      <w:r>
        <w:rPr>
          <w:bCs/>
          <w:lang w:val="fr"/>
        </w:rPr>
        <w:t>avril 2021</w:t>
      </w:r>
    </w:p>
    <w:p w14:paraId="11C1B1DB" w14:textId="3E62AEBC" w:rsidR="00F3715E" w:rsidRPr="003B37D7" w:rsidRDefault="00F3715E" w:rsidP="003B37D7">
      <w:pPr>
        <w:pStyle w:val="Title"/>
        <w:spacing w:after="160"/>
        <w:jc w:val="left"/>
        <w:rPr>
          <w:sz w:val="28"/>
          <w:szCs w:val="28"/>
          <w:lang w:val="fr-CA"/>
        </w:rPr>
      </w:pPr>
      <w:r w:rsidRPr="003B37D7">
        <w:rPr>
          <w:sz w:val="28"/>
          <w:szCs w:val="28"/>
        </w:rPr>
        <w:t>C</w:t>
      </w:r>
      <w:r w:rsidR="00266121" w:rsidRPr="003B37D7">
        <w:rPr>
          <w:sz w:val="28"/>
          <w:szCs w:val="28"/>
        </w:rPr>
        <w:t>adre général</w:t>
      </w:r>
    </w:p>
    <w:p w14:paraId="03FFDB36" w14:textId="77777777" w:rsidR="005C27EB" w:rsidRPr="00842016" w:rsidRDefault="005C27EB" w:rsidP="005C27EB">
      <w:pPr>
        <w:spacing w:after="240"/>
        <w:rPr>
          <w:rFonts w:ascii="Arial" w:hAnsi="Arial" w:cs="Arial"/>
          <w:sz w:val="24"/>
          <w:szCs w:val="24"/>
          <w:lang w:val="fr-CA"/>
        </w:rPr>
      </w:pPr>
      <w:r>
        <w:rPr>
          <w:rFonts w:ascii="Arial" w:hAnsi="Arial" w:cs="Arial"/>
          <w:sz w:val="24"/>
          <w:szCs w:val="24"/>
          <w:lang w:val="fr"/>
        </w:rPr>
        <w:t>La présente directive de pratique a pour but de décrire le mécanisme des conférences en vue d’un règlement amiable et la façon de participer à une telle conférence.</w:t>
      </w:r>
    </w:p>
    <w:p w14:paraId="0989559A" w14:textId="77777777" w:rsidR="005C27EB" w:rsidRPr="00842016" w:rsidRDefault="005C27EB" w:rsidP="003B37D7">
      <w:pPr>
        <w:pStyle w:val="Title"/>
        <w:spacing w:after="160"/>
        <w:jc w:val="left"/>
        <w:rPr>
          <w:lang w:val="fr-CA"/>
        </w:rPr>
      </w:pPr>
      <w:r>
        <w:t>Procédure</w:t>
      </w:r>
    </w:p>
    <w:p w14:paraId="74A5A426" w14:textId="064B058A" w:rsidR="005C27EB" w:rsidRPr="00842016" w:rsidRDefault="005C27EB" w:rsidP="005C27EB">
      <w:pPr>
        <w:rPr>
          <w:rFonts w:ascii="Arial" w:hAnsi="Arial" w:cs="Arial"/>
          <w:sz w:val="24"/>
          <w:szCs w:val="24"/>
          <w:lang w:val="fr-CA"/>
        </w:rPr>
      </w:pPr>
      <w:r>
        <w:rPr>
          <w:rFonts w:ascii="Arial" w:hAnsi="Arial" w:cs="Arial"/>
          <w:sz w:val="24"/>
          <w:szCs w:val="24"/>
          <w:lang w:val="fr"/>
        </w:rPr>
        <w:t>Selon les règles 56 à 59, une conférence en vue d’un règlement amiable est une comparution devant la Commission avant l’établissement d’une date d’audience dans le cadre de laquelle le membre de la Commission qui préside rencontre les parties pour examiner les questions en litige dans le but de les éclaircir et de tenter d’en résoudre une partie ou la totalité.</w:t>
      </w:r>
    </w:p>
    <w:p w14:paraId="11973048" w14:textId="0C91DD3B" w:rsidR="005C27EB" w:rsidRPr="00842016" w:rsidRDefault="005C27EB" w:rsidP="005C27EB">
      <w:pPr>
        <w:rPr>
          <w:rFonts w:ascii="Arial" w:hAnsi="Arial" w:cs="Arial"/>
          <w:sz w:val="24"/>
          <w:szCs w:val="24"/>
          <w:lang w:val="fr-CA"/>
        </w:rPr>
      </w:pPr>
      <w:r>
        <w:rPr>
          <w:rFonts w:ascii="Arial" w:hAnsi="Arial" w:cs="Arial"/>
          <w:sz w:val="24"/>
          <w:szCs w:val="24"/>
          <w:lang w:val="fr"/>
        </w:rPr>
        <w:t>S</w:t>
      </w:r>
      <w:r w:rsidR="00842016">
        <w:rPr>
          <w:rFonts w:ascii="Arial" w:hAnsi="Arial" w:cs="Arial"/>
          <w:sz w:val="24"/>
          <w:szCs w:val="24"/>
          <w:lang w:val="fr"/>
        </w:rPr>
        <w:t>’</w:t>
      </w:r>
      <w:r>
        <w:rPr>
          <w:rFonts w:ascii="Arial" w:hAnsi="Arial" w:cs="Arial"/>
          <w:sz w:val="24"/>
          <w:szCs w:val="24"/>
          <w:lang w:val="fr"/>
        </w:rPr>
        <w:t>il reste des questions en litige, le membre qui préside l</w:t>
      </w:r>
      <w:r w:rsidR="00842016">
        <w:rPr>
          <w:rFonts w:ascii="Arial" w:hAnsi="Arial" w:cs="Arial"/>
          <w:sz w:val="24"/>
          <w:szCs w:val="24"/>
          <w:lang w:val="fr"/>
        </w:rPr>
        <w:t>’</w:t>
      </w:r>
      <w:r>
        <w:rPr>
          <w:rFonts w:ascii="Arial" w:hAnsi="Arial" w:cs="Arial"/>
          <w:sz w:val="24"/>
          <w:szCs w:val="24"/>
          <w:lang w:val="fr"/>
        </w:rPr>
        <w:t xml:space="preserve">audience fixera une date </w:t>
      </w:r>
      <w:r w:rsidR="00266121">
        <w:rPr>
          <w:rFonts w:ascii="Arial" w:hAnsi="Arial" w:cs="Arial"/>
          <w:sz w:val="24"/>
          <w:szCs w:val="24"/>
          <w:lang w:val="fr"/>
        </w:rPr>
        <w:t>pour la tenue d’</w:t>
      </w:r>
      <w:r>
        <w:rPr>
          <w:rFonts w:ascii="Arial" w:hAnsi="Arial" w:cs="Arial"/>
          <w:sz w:val="24"/>
          <w:szCs w:val="24"/>
          <w:lang w:val="fr"/>
        </w:rPr>
        <w:t xml:space="preserve">une audience complète afin de trancher les questions restantes. </w:t>
      </w:r>
      <w:r w:rsidR="00266121">
        <w:rPr>
          <w:rFonts w:ascii="Arial" w:hAnsi="Arial" w:cs="Arial"/>
          <w:sz w:val="24"/>
          <w:szCs w:val="24"/>
          <w:lang w:val="fr"/>
        </w:rPr>
        <w:t>Lors de</w:t>
      </w:r>
      <w:r>
        <w:rPr>
          <w:rFonts w:ascii="Arial" w:hAnsi="Arial" w:cs="Arial"/>
          <w:sz w:val="24"/>
          <w:szCs w:val="24"/>
          <w:lang w:val="fr"/>
        </w:rPr>
        <w:t xml:space="preserve"> la conférence en vue d’un règlement amiable, le membre de la Commission qui préside se </w:t>
      </w:r>
      <w:r w:rsidR="00266121">
        <w:rPr>
          <w:rFonts w:ascii="Arial" w:hAnsi="Arial" w:cs="Arial"/>
          <w:sz w:val="24"/>
          <w:szCs w:val="24"/>
          <w:lang w:val="fr"/>
        </w:rPr>
        <w:t xml:space="preserve">penchera </w:t>
      </w:r>
      <w:r>
        <w:rPr>
          <w:rFonts w:ascii="Arial" w:hAnsi="Arial" w:cs="Arial"/>
          <w:sz w:val="24"/>
          <w:szCs w:val="24"/>
          <w:lang w:val="fr"/>
        </w:rPr>
        <w:t xml:space="preserve">surtout </w:t>
      </w:r>
      <w:r w:rsidR="00266121">
        <w:rPr>
          <w:rFonts w:ascii="Arial" w:hAnsi="Arial" w:cs="Arial"/>
          <w:sz w:val="24"/>
          <w:szCs w:val="24"/>
          <w:lang w:val="fr"/>
        </w:rPr>
        <w:t>sur l</w:t>
      </w:r>
      <w:r>
        <w:rPr>
          <w:rFonts w:ascii="Arial" w:hAnsi="Arial" w:cs="Arial"/>
          <w:sz w:val="24"/>
          <w:szCs w:val="24"/>
          <w:lang w:val="fr"/>
        </w:rPr>
        <w:t>es questions juridiques soulevées dans l’appel. Les conférences en vue d</w:t>
      </w:r>
      <w:r w:rsidR="00842016">
        <w:rPr>
          <w:rFonts w:ascii="Arial" w:hAnsi="Arial" w:cs="Arial"/>
          <w:sz w:val="24"/>
          <w:szCs w:val="24"/>
          <w:lang w:val="fr"/>
        </w:rPr>
        <w:t>’</w:t>
      </w:r>
      <w:r>
        <w:rPr>
          <w:rFonts w:ascii="Arial" w:hAnsi="Arial" w:cs="Arial"/>
          <w:sz w:val="24"/>
          <w:szCs w:val="24"/>
          <w:lang w:val="fr"/>
        </w:rPr>
        <w:t xml:space="preserve">un règlement amiable sont avantageuses en ce qu’elles donnent aux parties une possibilité d’étudier leurs intérêts profonds, </w:t>
      </w:r>
      <w:r w:rsidR="00266121">
        <w:rPr>
          <w:rFonts w:ascii="Arial" w:hAnsi="Arial" w:cs="Arial"/>
          <w:sz w:val="24"/>
          <w:szCs w:val="24"/>
          <w:lang w:val="fr"/>
        </w:rPr>
        <w:t xml:space="preserve">lesquels </w:t>
      </w:r>
      <w:r>
        <w:rPr>
          <w:rFonts w:ascii="Arial" w:hAnsi="Arial" w:cs="Arial"/>
          <w:sz w:val="24"/>
          <w:szCs w:val="24"/>
          <w:lang w:val="fr"/>
        </w:rPr>
        <w:t xml:space="preserve">peuvent dépasser les questions juridiques devant être résolues </w:t>
      </w:r>
      <w:r w:rsidR="00266121">
        <w:rPr>
          <w:rFonts w:ascii="Arial" w:hAnsi="Arial" w:cs="Arial"/>
          <w:sz w:val="24"/>
          <w:szCs w:val="24"/>
          <w:lang w:val="fr"/>
        </w:rPr>
        <w:t>lors d’</w:t>
      </w:r>
      <w:r>
        <w:rPr>
          <w:rFonts w:ascii="Arial" w:hAnsi="Arial" w:cs="Arial"/>
          <w:sz w:val="24"/>
          <w:szCs w:val="24"/>
          <w:lang w:val="fr"/>
        </w:rPr>
        <w:t>une audience devant la Commission. Les conférences en vue d</w:t>
      </w:r>
      <w:r w:rsidR="00842016">
        <w:rPr>
          <w:rFonts w:ascii="Arial" w:hAnsi="Arial" w:cs="Arial"/>
          <w:sz w:val="24"/>
          <w:szCs w:val="24"/>
          <w:lang w:val="fr"/>
        </w:rPr>
        <w:t>’</w:t>
      </w:r>
      <w:r>
        <w:rPr>
          <w:rFonts w:ascii="Arial" w:hAnsi="Arial" w:cs="Arial"/>
          <w:sz w:val="24"/>
          <w:szCs w:val="24"/>
          <w:lang w:val="fr"/>
        </w:rPr>
        <w:t>un règlement amiable peuvent être avantageuses si les parties ont besoin de plus de temps pour négocier pour les raisons suivantes</w:t>
      </w:r>
      <w:r w:rsidR="00842016">
        <w:rPr>
          <w:rFonts w:ascii="Arial" w:hAnsi="Arial" w:cs="Arial"/>
          <w:sz w:val="24"/>
          <w:szCs w:val="24"/>
          <w:lang w:val="fr"/>
        </w:rPr>
        <w:t> </w:t>
      </w:r>
      <w:r>
        <w:rPr>
          <w:rFonts w:ascii="Arial" w:hAnsi="Arial" w:cs="Arial"/>
          <w:sz w:val="24"/>
          <w:szCs w:val="24"/>
          <w:lang w:val="fr"/>
        </w:rPr>
        <w:t>:</w:t>
      </w:r>
    </w:p>
    <w:p w14:paraId="7023F1FA" w14:textId="77777777" w:rsidR="005C27EB" w:rsidRPr="00842016" w:rsidRDefault="005C27EB" w:rsidP="005C27EB">
      <w:pPr>
        <w:numPr>
          <w:ilvl w:val="0"/>
          <w:numId w:val="5"/>
        </w:numPr>
        <w:spacing w:before="120" w:after="0" w:line="240" w:lineRule="auto"/>
        <w:rPr>
          <w:rFonts w:ascii="Arial" w:hAnsi="Arial" w:cs="Arial"/>
          <w:sz w:val="24"/>
          <w:szCs w:val="24"/>
          <w:lang w:val="fr-CA"/>
        </w:rPr>
      </w:pPr>
      <w:proofErr w:type="gramStart"/>
      <w:r>
        <w:rPr>
          <w:rFonts w:ascii="Arial" w:hAnsi="Arial" w:cs="Arial"/>
          <w:sz w:val="24"/>
          <w:szCs w:val="24"/>
          <w:lang w:val="fr"/>
        </w:rPr>
        <w:t>les</w:t>
      </w:r>
      <w:proofErr w:type="gramEnd"/>
      <w:r>
        <w:rPr>
          <w:rFonts w:ascii="Arial" w:hAnsi="Arial" w:cs="Arial"/>
          <w:sz w:val="24"/>
          <w:szCs w:val="24"/>
          <w:lang w:val="fr"/>
        </w:rPr>
        <w:t xml:space="preserve"> questions sont complexes ou la preuve est volumineuse;</w:t>
      </w:r>
    </w:p>
    <w:p w14:paraId="2E06EA06" w14:textId="77777777" w:rsidR="005C27EB" w:rsidRPr="00842016" w:rsidRDefault="005C27EB" w:rsidP="005C27EB">
      <w:pPr>
        <w:numPr>
          <w:ilvl w:val="0"/>
          <w:numId w:val="5"/>
        </w:numPr>
        <w:spacing w:before="120" w:after="0" w:line="240" w:lineRule="auto"/>
        <w:rPr>
          <w:rFonts w:ascii="Arial" w:hAnsi="Arial" w:cs="Arial"/>
          <w:sz w:val="24"/>
          <w:szCs w:val="24"/>
          <w:lang w:val="fr-CA"/>
        </w:rPr>
      </w:pPr>
      <w:proofErr w:type="gramStart"/>
      <w:r>
        <w:rPr>
          <w:rFonts w:ascii="Arial" w:hAnsi="Arial" w:cs="Arial"/>
          <w:sz w:val="24"/>
          <w:szCs w:val="24"/>
          <w:lang w:val="fr"/>
        </w:rPr>
        <w:t>les</w:t>
      </w:r>
      <w:proofErr w:type="gramEnd"/>
      <w:r>
        <w:rPr>
          <w:rFonts w:ascii="Arial" w:hAnsi="Arial" w:cs="Arial"/>
          <w:sz w:val="24"/>
          <w:szCs w:val="24"/>
          <w:lang w:val="fr"/>
        </w:rPr>
        <w:t xml:space="preserve"> parties à l’appel sont nombreuses;</w:t>
      </w:r>
    </w:p>
    <w:p w14:paraId="5A4CB8BA" w14:textId="460EA894" w:rsidR="005C27EB" w:rsidRPr="00842016" w:rsidRDefault="00266121" w:rsidP="005C27EB">
      <w:pPr>
        <w:numPr>
          <w:ilvl w:val="0"/>
          <w:numId w:val="5"/>
        </w:numPr>
        <w:spacing w:before="120" w:after="0" w:line="240" w:lineRule="auto"/>
        <w:rPr>
          <w:rFonts w:ascii="Arial" w:hAnsi="Arial" w:cs="Arial"/>
          <w:sz w:val="24"/>
          <w:szCs w:val="24"/>
          <w:lang w:val="fr-CA"/>
        </w:rPr>
      </w:pPr>
      <w:proofErr w:type="gramStart"/>
      <w:r>
        <w:rPr>
          <w:rFonts w:ascii="Arial" w:hAnsi="Arial" w:cs="Arial"/>
          <w:sz w:val="24"/>
          <w:szCs w:val="24"/>
          <w:lang w:val="fr"/>
        </w:rPr>
        <w:t>plusieurs</w:t>
      </w:r>
      <w:proofErr w:type="gramEnd"/>
      <w:r>
        <w:rPr>
          <w:rFonts w:ascii="Arial" w:hAnsi="Arial" w:cs="Arial"/>
          <w:sz w:val="24"/>
          <w:szCs w:val="24"/>
          <w:lang w:val="fr"/>
        </w:rPr>
        <w:t xml:space="preserve"> </w:t>
      </w:r>
      <w:r w:rsidR="005C27EB">
        <w:rPr>
          <w:rFonts w:ascii="Arial" w:hAnsi="Arial" w:cs="Arial"/>
          <w:sz w:val="24"/>
          <w:szCs w:val="24"/>
          <w:lang w:val="fr"/>
        </w:rPr>
        <w:t xml:space="preserve">appels relatifs à une </w:t>
      </w:r>
      <w:r>
        <w:rPr>
          <w:rFonts w:ascii="Arial" w:hAnsi="Arial" w:cs="Arial"/>
          <w:sz w:val="24"/>
          <w:szCs w:val="24"/>
          <w:lang w:val="fr"/>
        </w:rPr>
        <w:t xml:space="preserve">même </w:t>
      </w:r>
      <w:r w:rsidR="005C27EB">
        <w:rPr>
          <w:rFonts w:ascii="Arial" w:hAnsi="Arial" w:cs="Arial"/>
          <w:sz w:val="24"/>
          <w:szCs w:val="24"/>
          <w:lang w:val="fr"/>
        </w:rPr>
        <w:t xml:space="preserve">propriété </w:t>
      </w:r>
      <w:r>
        <w:rPr>
          <w:rFonts w:ascii="Arial" w:hAnsi="Arial" w:cs="Arial"/>
          <w:sz w:val="24"/>
          <w:szCs w:val="24"/>
          <w:lang w:val="fr"/>
        </w:rPr>
        <w:t xml:space="preserve">doivent être </w:t>
      </w:r>
      <w:r w:rsidR="005C27EB">
        <w:rPr>
          <w:rFonts w:ascii="Arial" w:hAnsi="Arial" w:cs="Arial"/>
          <w:sz w:val="24"/>
          <w:szCs w:val="24"/>
          <w:lang w:val="fr"/>
        </w:rPr>
        <w:t xml:space="preserve">entendus en même temps. </w:t>
      </w:r>
    </w:p>
    <w:p w14:paraId="5577332F" w14:textId="77777777" w:rsidR="005C27EB" w:rsidRPr="00842016" w:rsidRDefault="005C27EB" w:rsidP="005C27EB">
      <w:pPr>
        <w:spacing w:before="120" w:after="0" w:line="240" w:lineRule="auto"/>
        <w:ind w:left="789"/>
        <w:rPr>
          <w:rFonts w:ascii="Arial" w:hAnsi="Arial" w:cs="Arial"/>
          <w:sz w:val="24"/>
          <w:szCs w:val="24"/>
          <w:lang w:val="fr-CA"/>
        </w:rPr>
      </w:pPr>
    </w:p>
    <w:p w14:paraId="4C579B86" w14:textId="20456E78" w:rsidR="005C27EB" w:rsidRPr="00842016" w:rsidRDefault="005C27EB" w:rsidP="005C27EB">
      <w:pPr>
        <w:rPr>
          <w:rFonts w:ascii="Arial" w:hAnsi="Arial" w:cs="Arial"/>
          <w:sz w:val="24"/>
          <w:szCs w:val="24"/>
          <w:lang w:val="fr-CA"/>
        </w:rPr>
      </w:pPr>
      <w:r>
        <w:rPr>
          <w:rFonts w:ascii="Arial" w:hAnsi="Arial" w:cs="Arial"/>
          <w:sz w:val="24"/>
          <w:szCs w:val="24"/>
          <w:lang w:val="fr"/>
        </w:rPr>
        <w:lastRenderedPageBreak/>
        <w:t>Une fois que la conférence en vue d</w:t>
      </w:r>
      <w:r w:rsidR="00842016">
        <w:rPr>
          <w:rFonts w:ascii="Arial" w:hAnsi="Arial" w:cs="Arial"/>
          <w:sz w:val="24"/>
          <w:szCs w:val="24"/>
          <w:lang w:val="fr"/>
        </w:rPr>
        <w:t>’</w:t>
      </w:r>
      <w:r>
        <w:rPr>
          <w:rFonts w:ascii="Arial" w:hAnsi="Arial" w:cs="Arial"/>
          <w:sz w:val="24"/>
          <w:szCs w:val="24"/>
          <w:lang w:val="fr"/>
        </w:rPr>
        <w:t>un règlement amiable est terminée</w:t>
      </w:r>
      <w:r w:rsidR="00266121">
        <w:rPr>
          <w:rFonts w:ascii="Arial" w:hAnsi="Arial" w:cs="Arial"/>
          <w:sz w:val="24"/>
          <w:szCs w:val="24"/>
          <w:lang w:val="fr"/>
        </w:rPr>
        <w:t>, si</w:t>
      </w:r>
      <w:r>
        <w:rPr>
          <w:rFonts w:ascii="Arial" w:hAnsi="Arial" w:cs="Arial"/>
          <w:sz w:val="24"/>
          <w:szCs w:val="24"/>
          <w:lang w:val="fr"/>
        </w:rPr>
        <w:t xml:space="preserve"> les appels n</w:t>
      </w:r>
      <w:r w:rsidR="00842016">
        <w:rPr>
          <w:rFonts w:ascii="Arial" w:hAnsi="Arial" w:cs="Arial"/>
          <w:sz w:val="24"/>
          <w:szCs w:val="24"/>
          <w:lang w:val="fr"/>
        </w:rPr>
        <w:t>’</w:t>
      </w:r>
      <w:r>
        <w:rPr>
          <w:rFonts w:ascii="Arial" w:hAnsi="Arial" w:cs="Arial"/>
          <w:sz w:val="24"/>
          <w:szCs w:val="24"/>
          <w:lang w:val="fr"/>
        </w:rPr>
        <w:t xml:space="preserve">ont pas été réglés, le membre de la Commission qui préside donnera des directives de procédure </w:t>
      </w:r>
      <w:r w:rsidR="00266121">
        <w:rPr>
          <w:rFonts w:ascii="Arial" w:hAnsi="Arial" w:cs="Arial"/>
          <w:sz w:val="24"/>
          <w:szCs w:val="24"/>
          <w:lang w:val="fr"/>
        </w:rPr>
        <w:t xml:space="preserve">pour </w:t>
      </w:r>
      <w:r>
        <w:rPr>
          <w:rFonts w:ascii="Arial" w:hAnsi="Arial" w:cs="Arial"/>
          <w:sz w:val="24"/>
          <w:szCs w:val="24"/>
          <w:lang w:val="fr"/>
        </w:rPr>
        <w:t>l’établissement de la date de l’audience et l</w:t>
      </w:r>
      <w:r w:rsidR="00266121">
        <w:rPr>
          <w:rFonts w:ascii="Arial" w:hAnsi="Arial" w:cs="Arial"/>
          <w:sz w:val="24"/>
          <w:szCs w:val="24"/>
          <w:lang w:val="fr"/>
        </w:rPr>
        <w:t xml:space="preserve">a communication des </w:t>
      </w:r>
      <w:r>
        <w:rPr>
          <w:rFonts w:ascii="Arial" w:hAnsi="Arial" w:cs="Arial"/>
          <w:sz w:val="24"/>
          <w:szCs w:val="24"/>
          <w:lang w:val="fr"/>
        </w:rPr>
        <w:t>déclaration</w:t>
      </w:r>
      <w:r w:rsidR="00266121">
        <w:rPr>
          <w:rFonts w:ascii="Arial" w:hAnsi="Arial" w:cs="Arial"/>
          <w:sz w:val="24"/>
          <w:szCs w:val="24"/>
          <w:lang w:val="fr"/>
        </w:rPr>
        <w:t>s</w:t>
      </w:r>
      <w:r>
        <w:rPr>
          <w:rFonts w:ascii="Arial" w:hAnsi="Arial" w:cs="Arial"/>
          <w:sz w:val="24"/>
          <w:szCs w:val="24"/>
          <w:lang w:val="fr"/>
        </w:rPr>
        <w:t xml:space="preserve"> des témoins </w:t>
      </w:r>
      <w:r w:rsidR="00266121">
        <w:rPr>
          <w:rFonts w:ascii="Arial" w:hAnsi="Arial" w:cs="Arial"/>
          <w:sz w:val="24"/>
          <w:szCs w:val="24"/>
          <w:lang w:val="fr"/>
        </w:rPr>
        <w:t>ainsi que</w:t>
      </w:r>
      <w:r>
        <w:rPr>
          <w:rFonts w:ascii="Arial" w:hAnsi="Arial" w:cs="Arial"/>
          <w:sz w:val="24"/>
          <w:szCs w:val="24"/>
          <w:lang w:val="fr"/>
        </w:rPr>
        <w:t xml:space="preserve"> toute autre directive </w:t>
      </w:r>
      <w:r w:rsidR="00266121">
        <w:rPr>
          <w:rFonts w:ascii="Arial" w:hAnsi="Arial" w:cs="Arial"/>
          <w:sz w:val="24"/>
          <w:szCs w:val="24"/>
          <w:lang w:val="fr"/>
        </w:rPr>
        <w:t xml:space="preserve">nécessaire pour </w:t>
      </w:r>
      <w:r>
        <w:rPr>
          <w:rFonts w:ascii="Arial" w:hAnsi="Arial" w:cs="Arial"/>
          <w:sz w:val="24"/>
          <w:szCs w:val="24"/>
          <w:lang w:val="fr"/>
        </w:rPr>
        <w:t xml:space="preserve">assurer le règlement le plus juste, le plus rapide et le moins coûteux de chaque litige.  </w:t>
      </w:r>
    </w:p>
    <w:p w14:paraId="1E69148F" w14:textId="7F330B6E" w:rsidR="005C27EB" w:rsidRPr="00842016" w:rsidRDefault="005C27EB" w:rsidP="003B37D7">
      <w:pPr>
        <w:pStyle w:val="Title"/>
        <w:spacing w:after="160"/>
        <w:jc w:val="left"/>
        <w:rPr>
          <w:lang w:val="fr-CA"/>
        </w:rPr>
      </w:pPr>
      <w:r>
        <w:t>Obligation de signifier et de déposer un mémoire de conférence en vue d’un règlement amiable</w:t>
      </w:r>
    </w:p>
    <w:p w14:paraId="40466606" w14:textId="18186FEE" w:rsidR="005C27EB" w:rsidRPr="00842016" w:rsidRDefault="005C27EB" w:rsidP="005C27EB">
      <w:pPr>
        <w:rPr>
          <w:rFonts w:ascii="Arial" w:hAnsi="Arial" w:cs="Arial"/>
          <w:sz w:val="24"/>
          <w:szCs w:val="24"/>
          <w:lang w:val="fr-CA"/>
        </w:rPr>
      </w:pPr>
      <w:r>
        <w:rPr>
          <w:rFonts w:ascii="Arial" w:hAnsi="Arial" w:cs="Arial"/>
          <w:sz w:val="24"/>
          <w:szCs w:val="24"/>
          <w:lang w:val="fr"/>
        </w:rPr>
        <w:t>Selon le calendrier des procédures applicable</w:t>
      </w:r>
      <w:r w:rsidR="00842016">
        <w:rPr>
          <w:rFonts w:ascii="Arial" w:hAnsi="Arial" w:cs="Arial"/>
          <w:sz w:val="24"/>
          <w:szCs w:val="24"/>
          <w:lang w:val="fr"/>
        </w:rPr>
        <w:t>s</w:t>
      </w:r>
      <w:r>
        <w:rPr>
          <w:rFonts w:ascii="Arial" w:hAnsi="Arial" w:cs="Arial"/>
          <w:sz w:val="24"/>
          <w:szCs w:val="24"/>
          <w:lang w:val="fr"/>
        </w:rPr>
        <w:t xml:space="preserve">, chaque partie est tenue de déposer, avant que la Commission ne tienne une conférence en vue d’un règlement amiable, ses pièces de procédure (exposé des questions en litige, énoncé de réponse ou réponse) et tous les documents sur lesquels elle entend se fonder si l’appel donne lieu à une audience. Pour la tenue d’une conférence en vue d’un règlement amiable, chaque partie est également tenue de signifier à toutes les autres parties et </w:t>
      </w:r>
      <w:r w:rsidR="00266121">
        <w:rPr>
          <w:rFonts w:ascii="Arial" w:hAnsi="Arial" w:cs="Arial"/>
          <w:sz w:val="24"/>
          <w:szCs w:val="24"/>
          <w:lang w:val="fr"/>
        </w:rPr>
        <w:t>de</w:t>
      </w:r>
      <w:r>
        <w:rPr>
          <w:rFonts w:ascii="Arial" w:hAnsi="Arial" w:cs="Arial"/>
          <w:sz w:val="24"/>
          <w:szCs w:val="24"/>
          <w:lang w:val="fr"/>
        </w:rPr>
        <w:t xml:space="preserve"> déposer auprès de la Commission un mémoire exposant :</w:t>
      </w:r>
    </w:p>
    <w:p w14:paraId="67C4D73C" w14:textId="77777777" w:rsidR="005C27EB" w:rsidRPr="005C27EB" w:rsidRDefault="005C27EB" w:rsidP="005C27EB">
      <w:pPr>
        <w:numPr>
          <w:ilvl w:val="0"/>
          <w:numId w:val="1"/>
        </w:numPr>
        <w:spacing w:before="120" w:after="0" w:line="240" w:lineRule="auto"/>
        <w:rPr>
          <w:rFonts w:ascii="Arial" w:hAnsi="Arial" w:cs="Arial"/>
          <w:sz w:val="24"/>
          <w:szCs w:val="24"/>
        </w:rPr>
      </w:pPr>
      <w:proofErr w:type="gramStart"/>
      <w:r>
        <w:rPr>
          <w:rFonts w:ascii="Arial" w:hAnsi="Arial" w:cs="Arial"/>
          <w:sz w:val="24"/>
          <w:szCs w:val="24"/>
          <w:lang w:val="fr"/>
        </w:rPr>
        <w:t>les</w:t>
      </w:r>
      <w:proofErr w:type="gramEnd"/>
      <w:r>
        <w:rPr>
          <w:rFonts w:ascii="Arial" w:hAnsi="Arial" w:cs="Arial"/>
          <w:sz w:val="24"/>
          <w:szCs w:val="24"/>
          <w:lang w:val="fr"/>
        </w:rPr>
        <w:t xml:space="preserve"> questions en litige;</w:t>
      </w:r>
    </w:p>
    <w:p w14:paraId="0581F796" w14:textId="77777777" w:rsidR="005C27EB" w:rsidRPr="00842016" w:rsidRDefault="005C27EB" w:rsidP="005C27EB">
      <w:pPr>
        <w:numPr>
          <w:ilvl w:val="0"/>
          <w:numId w:val="1"/>
        </w:numPr>
        <w:spacing w:before="120" w:after="0" w:line="240" w:lineRule="auto"/>
        <w:rPr>
          <w:rFonts w:ascii="Arial" w:hAnsi="Arial" w:cs="Arial"/>
          <w:sz w:val="24"/>
          <w:szCs w:val="24"/>
          <w:lang w:val="fr-CA"/>
        </w:rPr>
      </w:pPr>
      <w:proofErr w:type="gramStart"/>
      <w:r>
        <w:rPr>
          <w:rFonts w:ascii="Arial" w:hAnsi="Arial" w:cs="Arial"/>
          <w:sz w:val="24"/>
          <w:szCs w:val="24"/>
          <w:lang w:val="fr"/>
        </w:rPr>
        <w:t>sa</w:t>
      </w:r>
      <w:proofErr w:type="gramEnd"/>
      <w:r>
        <w:rPr>
          <w:rFonts w:ascii="Arial" w:hAnsi="Arial" w:cs="Arial"/>
          <w:sz w:val="24"/>
          <w:szCs w:val="24"/>
          <w:lang w:val="fr"/>
        </w:rPr>
        <w:t xml:space="preserve"> position sur chacune des questions en litige;</w:t>
      </w:r>
    </w:p>
    <w:p w14:paraId="6603E059" w14:textId="1821AEE8" w:rsidR="005C27EB" w:rsidRPr="00842016" w:rsidRDefault="005C27EB" w:rsidP="005C27EB">
      <w:pPr>
        <w:numPr>
          <w:ilvl w:val="0"/>
          <w:numId w:val="1"/>
        </w:numPr>
        <w:spacing w:before="120" w:after="0" w:line="240" w:lineRule="auto"/>
        <w:rPr>
          <w:rFonts w:ascii="Arial" w:hAnsi="Arial" w:cs="Arial"/>
          <w:sz w:val="24"/>
          <w:szCs w:val="24"/>
          <w:lang w:val="fr-CA"/>
        </w:rPr>
      </w:pPr>
      <w:proofErr w:type="gramStart"/>
      <w:r>
        <w:rPr>
          <w:rFonts w:ascii="Arial" w:hAnsi="Arial" w:cs="Arial"/>
          <w:sz w:val="24"/>
          <w:szCs w:val="24"/>
          <w:lang w:val="fr"/>
        </w:rPr>
        <w:t>les</w:t>
      </w:r>
      <w:proofErr w:type="gramEnd"/>
      <w:r>
        <w:rPr>
          <w:rFonts w:ascii="Arial" w:hAnsi="Arial" w:cs="Arial"/>
          <w:sz w:val="24"/>
          <w:szCs w:val="24"/>
          <w:lang w:val="fr"/>
        </w:rPr>
        <w:t xml:space="preserve"> raisons expliquant pourquoi les parties ont des positions différentes sur la question. </w:t>
      </w:r>
    </w:p>
    <w:p w14:paraId="5F3FBF5D" w14:textId="77777777" w:rsidR="005C27EB" w:rsidRPr="00842016" w:rsidRDefault="005C27EB" w:rsidP="005C27EB">
      <w:pPr>
        <w:spacing w:before="120" w:after="0" w:line="240" w:lineRule="auto"/>
        <w:ind w:left="720"/>
        <w:rPr>
          <w:rFonts w:ascii="Arial" w:hAnsi="Arial" w:cs="Arial"/>
          <w:sz w:val="24"/>
          <w:szCs w:val="24"/>
          <w:lang w:val="fr-CA"/>
        </w:rPr>
      </w:pPr>
    </w:p>
    <w:p w14:paraId="3DC2B2A3" w14:textId="5E39A890" w:rsidR="005C27EB" w:rsidRPr="00842016" w:rsidRDefault="005C27EB" w:rsidP="005C27EB">
      <w:pPr>
        <w:rPr>
          <w:rFonts w:ascii="Arial" w:hAnsi="Arial" w:cs="Arial"/>
          <w:sz w:val="24"/>
          <w:szCs w:val="24"/>
          <w:lang w:val="fr-CA"/>
        </w:rPr>
      </w:pPr>
      <w:r>
        <w:rPr>
          <w:rFonts w:ascii="Arial" w:hAnsi="Arial" w:cs="Arial"/>
          <w:sz w:val="24"/>
          <w:szCs w:val="24"/>
          <w:lang w:val="fr"/>
        </w:rPr>
        <w:t xml:space="preserve">Par exemple, si l’appel a été formé en vertu de l’article 40 de la </w:t>
      </w:r>
      <w:r>
        <w:rPr>
          <w:rFonts w:ascii="Arial" w:hAnsi="Arial" w:cs="Arial"/>
          <w:i/>
          <w:iCs/>
          <w:sz w:val="24"/>
          <w:szCs w:val="24"/>
          <w:lang w:val="fr"/>
        </w:rPr>
        <w:t>Loi sur l’évaluation foncière</w:t>
      </w:r>
      <w:r>
        <w:rPr>
          <w:rFonts w:ascii="Arial" w:hAnsi="Arial" w:cs="Arial"/>
          <w:sz w:val="24"/>
          <w:szCs w:val="24"/>
          <w:lang w:val="fr"/>
        </w:rPr>
        <w:t>, lorsque la question en litige est l’exactitude de la valeur actuelle de la propriété faisant l’objet de l’appel, il ne suffit pas aux parties d’énoncer tout simplement leur conclusion sur ce que la valeur actuelle de cette propriété devrait être. Elles doivent exposer en profondeur les questions précises sur lesquelles la Commission devra se prononcer en expliquant précisément en quoi leurs évaluations de la valeur de la propriété diffèrent (p. ex. les parties ont appliqué des taux de capitalisation différents, établi des loyers courants différents ou formul</w:t>
      </w:r>
      <w:r w:rsidR="00842016">
        <w:rPr>
          <w:rFonts w:ascii="Arial" w:hAnsi="Arial" w:cs="Arial"/>
          <w:sz w:val="24"/>
          <w:szCs w:val="24"/>
          <w:lang w:val="fr"/>
        </w:rPr>
        <w:t>é</w:t>
      </w:r>
      <w:r>
        <w:rPr>
          <w:rFonts w:ascii="Arial" w:hAnsi="Arial" w:cs="Arial"/>
          <w:sz w:val="24"/>
          <w:szCs w:val="24"/>
          <w:lang w:val="fr"/>
        </w:rPr>
        <w:t xml:space="preserve"> des hypothèses différentes concernant la désuétude fonctionnelle ou économique, etc.). </w:t>
      </w:r>
    </w:p>
    <w:p w14:paraId="0B628121" w14:textId="77777777" w:rsidR="005C27EB" w:rsidRPr="00842016" w:rsidRDefault="005C27EB" w:rsidP="003B37D7">
      <w:pPr>
        <w:pStyle w:val="Title"/>
        <w:spacing w:after="160"/>
        <w:jc w:val="left"/>
        <w:rPr>
          <w:lang w:val="fr-CA"/>
        </w:rPr>
      </w:pPr>
      <w:r>
        <w:t>Confidentialité de la conférence en vue d’un règlement amiable</w:t>
      </w:r>
    </w:p>
    <w:p w14:paraId="5D0089CE" w14:textId="7A37E52D" w:rsidR="005C27EB" w:rsidRPr="00842016" w:rsidRDefault="005C27EB" w:rsidP="005C27EB">
      <w:pPr>
        <w:rPr>
          <w:rFonts w:ascii="Arial" w:hAnsi="Arial" w:cs="Arial"/>
          <w:sz w:val="24"/>
          <w:szCs w:val="24"/>
          <w:lang w:val="fr-CA"/>
        </w:rPr>
      </w:pPr>
      <w:r>
        <w:rPr>
          <w:rFonts w:ascii="Arial" w:hAnsi="Arial" w:cs="Arial"/>
          <w:sz w:val="24"/>
          <w:szCs w:val="24"/>
          <w:lang w:val="fr"/>
        </w:rPr>
        <w:t xml:space="preserve">La conférence en vue d’un règlement amiable est confidentielle. Selon la règle 58, toutes les parties présentes à une telle conférence s’engagent de ce fait à ne rien en divulguer. La règle 59 précise que le membre de la Commission qui préside une conférence en vue d’un règlement amiable ne sera pas l’arbitre qui entendra l’appel.  </w:t>
      </w:r>
    </w:p>
    <w:p w14:paraId="3ADE5397" w14:textId="759AF8C6" w:rsidR="005C27EB" w:rsidRPr="00842016" w:rsidRDefault="005C27EB" w:rsidP="005C27EB">
      <w:pPr>
        <w:rPr>
          <w:rFonts w:ascii="Arial" w:hAnsi="Arial" w:cs="Arial"/>
          <w:b/>
          <w:bCs/>
          <w:sz w:val="28"/>
          <w:szCs w:val="28"/>
          <w:lang w:val="fr-CA"/>
        </w:rPr>
      </w:pPr>
      <w:r>
        <w:rPr>
          <w:rFonts w:ascii="Arial" w:hAnsi="Arial" w:cs="Arial"/>
          <w:sz w:val="24"/>
          <w:szCs w:val="24"/>
          <w:lang w:val="fr"/>
        </w:rPr>
        <w:t>La règle 59 indique également que le membre de la Commission qui préside une conférence en vue d’un règlement amiable sera chargé seulement de tenir l</w:t>
      </w:r>
      <w:r w:rsidR="00842016">
        <w:rPr>
          <w:rFonts w:ascii="Arial" w:hAnsi="Arial" w:cs="Arial"/>
          <w:sz w:val="24"/>
          <w:szCs w:val="24"/>
          <w:lang w:val="fr"/>
        </w:rPr>
        <w:t>’</w:t>
      </w:r>
      <w:r>
        <w:rPr>
          <w:rFonts w:ascii="Arial" w:hAnsi="Arial" w:cs="Arial"/>
          <w:sz w:val="24"/>
          <w:szCs w:val="24"/>
          <w:lang w:val="fr"/>
        </w:rPr>
        <w:t>audience subséquente, avec le consentement des parties et de la Commission.</w:t>
      </w:r>
    </w:p>
    <w:sectPr w:rsidR="005C27EB" w:rsidRPr="0084201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BE8D" w14:textId="77777777" w:rsidR="005D6322" w:rsidRDefault="005D6322" w:rsidP="00760D43">
      <w:pPr>
        <w:spacing w:after="0" w:line="240" w:lineRule="auto"/>
      </w:pPr>
      <w:r>
        <w:separator/>
      </w:r>
    </w:p>
  </w:endnote>
  <w:endnote w:type="continuationSeparator" w:id="0">
    <w:p w14:paraId="67D4B9C9" w14:textId="77777777" w:rsidR="005D6322" w:rsidRDefault="005D6322" w:rsidP="00760D43">
      <w:pPr>
        <w:spacing w:after="0" w:line="240" w:lineRule="auto"/>
      </w:pPr>
      <w:r>
        <w:continuationSeparator/>
      </w:r>
    </w:p>
  </w:endnote>
  <w:endnote w:type="continuationNotice" w:id="1">
    <w:p w14:paraId="7675E899" w14:textId="77777777" w:rsidR="005D6322" w:rsidRDefault="005D6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565" w14:textId="77777777" w:rsidR="00A6147B" w:rsidRDefault="00A6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7006"/>
      <w:docPartObj>
        <w:docPartGallery w:val="Page Numbers (Bottom of Page)"/>
        <w:docPartUnique/>
      </w:docPartObj>
    </w:sdtPr>
    <w:sdtEndPr>
      <w:rPr>
        <w:rFonts w:ascii="Arial" w:hAnsi="Arial" w:cs="Arial"/>
        <w:noProof/>
      </w:rPr>
    </w:sdtEndPr>
    <w:sdtContent>
      <w:p w14:paraId="230AB71B" w14:textId="6610E5E4" w:rsidR="00192188" w:rsidRPr="00192188" w:rsidRDefault="00192188">
        <w:pPr>
          <w:pStyle w:val="Footer"/>
          <w:jc w:val="right"/>
          <w:rPr>
            <w:rFonts w:ascii="Arial" w:hAnsi="Arial" w:cs="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sdtContent>
  </w:sdt>
  <w:p w14:paraId="0C2E53F1" w14:textId="77777777" w:rsidR="00192188" w:rsidRDefault="00192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4F" w14:textId="77777777" w:rsidR="00A6147B" w:rsidRDefault="00A6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78C4" w14:textId="77777777" w:rsidR="005D6322" w:rsidRDefault="005D6322" w:rsidP="00760D43">
      <w:pPr>
        <w:spacing w:after="0" w:line="240" w:lineRule="auto"/>
      </w:pPr>
      <w:r>
        <w:separator/>
      </w:r>
    </w:p>
  </w:footnote>
  <w:footnote w:type="continuationSeparator" w:id="0">
    <w:p w14:paraId="2C160FCB" w14:textId="77777777" w:rsidR="005D6322" w:rsidRDefault="005D6322" w:rsidP="00760D43">
      <w:pPr>
        <w:spacing w:after="0" w:line="240" w:lineRule="auto"/>
      </w:pPr>
      <w:r>
        <w:continuationSeparator/>
      </w:r>
    </w:p>
  </w:footnote>
  <w:footnote w:type="continuationNotice" w:id="1">
    <w:p w14:paraId="7C28138D" w14:textId="77777777" w:rsidR="005D6322" w:rsidRDefault="005D6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0C0" w14:textId="77777777" w:rsidR="00A6147B" w:rsidRDefault="00A6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50C" w14:textId="77777777" w:rsidR="00A6147B" w:rsidRDefault="00A6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311" w14:textId="77777777" w:rsidR="00A6147B" w:rsidRDefault="00A6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1D1080"/>
    <w:multiLevelType w:val="hybridMultilevel"/>
    <w:tmpl w:val="46E88386"/>
    <w:lvl w:ilvl="0" w:tplc="10090001">
      <w:start w:val="1"/>
      <w:numFmt w:val="bullet"/>
      <w:lvlText w:val=""/>
      <w:lvlJc w:val="left"/>
      <w:pPr>
        <w:ind w:left="789" w:hanging="360"/>
      </w:pPr>
      <w:rPr>
        <w:rFonts w:ascii="Symbol" w:hAnsi="Symbol" w:hint="default"/>
      </w:rPr>
    </w:lvl>
    <w:lvl w:ilvl="1" w:tplc="10090003" w:tentative="1">
      <w:start w:val="1"/>
      <w:numFmt w:val="bullet"/>
      <w:lvlText w:val="o"/>
      <w:lvlJc w:val="left"/>
      <w:pPr>
        <w:ind w:left="1509" w:hanging="360"/>
      </w:pPr>
      <w:rPr>
        <w:rFonts w:ascii="Courier New" w:hAnsi="Courier New" w:cs="Courier New" w:hint="default"/>
      </w:rPr>
    </w:lvl>
    <w:lvl w:ilvl="2" w:tplc="10090005" w:tentative="1">
      <w:start w:val="1"/>
      <w:numFmt w:val="bullet"/>
      <w:lvlText w:val=""/>
      <w:lvlJc w:val="left"/>
      <w:pPr>
        <w:ind w:left="2229" w:hanging="360"/>
      </w:pPr>
      <w:rPr>
        <w:rFonts w:ascii="Wingdings" w:hAnsi="Wingdings" w:hint="default"/>
      </w:rPr>
    </w:lvl>
    <w:lvl w:ilvl="3" w:tplc="10090001" w:tentative="1">
      <w:start w:val="1"/>
      <w:numFmt w:val="bullet"/>
      <w:lvlText w:val=""/>
      <w:lvlJc w:val="left"/>
      <w:pPr>
        <w:ind w:left="2949" w:hanging="360"/>
      </w:pPr>
      <w:rPr>
        <w:rFonts w:ascii="Symbol" w:hAnsi="Symbol" w:hint="default"/>
      </w:rPr>
    </w:lvl>
    <w:lvl w:ilvl="4" w:tplc="10090003" w:tentative="1">
      <w:start w:val="1"/>
      <w:numFmt w:val="bullet"/>
      <w:lvlText w:val="o"/>
      <w:lvlJc w:val="left"/>
      <w:pPr>
        <w:ind w:left="3669" w:hanging="360"/>
      </w:pPr>
      <w:rPr>
        <w:rFonts w:ascii="Courier New" w:hAnsi="Courier New" w:cs="Courier New" w:hint="default"/>
      </w:rPr>
    </w:lvl>
    <w:lvl w:ilvl="5" w:tplc="10090005" w:tentative="1">
      <w:start w:val="1"/>
      <w:numFmt w:val="bullet"/>
      <w:lvlText w:val=""/>
      <w:lvlJc w:val="left"/>
      <w:pPr>
        <w:ind w:left="4389" w:hanging="360"/>
      </w:pPr>
      <w:rPr>
        <w:rFonts w:ascii="Wingdings" w:hAnsi="Wingdings" w:hint="default"/>
      </w:rPr>
    </w:lvl>
    <w:lvl w:ilvl="6" w:tplc="10090001" w:tentative="1">
      <w:start w:val="1"/>
      <w:numFmt w:val="bullet"/>
      <w:lvlText w:val=""/>
      <w:lvlJc w:val="left"/>
      <w:pPr>
        <w:ind w:left="5109" w:hanging="360"/>
      </w:pPr>
      <w:rPr>
        <w:rFonts w:ascii="Symbol" w:hAnsi="Symbol" w:hint="default"/>
      </w:rPr>
    </w:lvl>
    <w:lvl w:ilvl="7" w:tplc="10090003" w:tentative="1">
      <w:start w:val="1"/>
      <w:numFmt w:val="bullet"/>
      <w:lvlText w:val="o"/>
      <w:lvlJc w:val="left"/>
      <w:pPr>
        <w:ind w:left="5829" w:hanging="360"/>
      </w:pPr>
      <w:rPr>
        <w:rFonts w:ascii="Courier New" w:hAnsi="Courier New" w:cs="Courier New" w:hint="default"/>
      </w:rPr>
    </w:lvl>
    <w:lvl w:ilvl="8" w:tplc="10090005" w:tentative="1">
      <w:start w:val="1"/>
      <w:numFmt w:val="bullet"/>
      <w:lvlText w:val=""/>
      <w:lvlJc w:val="left"/>
      <w:pPr>
        <w:ind w:left="6549" w:hanging="360"/>
      </w:pPr>
      <w:rPr>
        <w:rFonts w:ascii="Wingdings" w:hAnsi="Wingdings" w:hint="default"/>
      </w:rPr>
    </w:lvl>
  </w:abstractNum>
  <w:abstractNum w:abstractNumId="2"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7043FCB"/>
    <w:multiLevelType w:val="hybridMultilevel"/>
    <w:tmpl w:val="3246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E"/>
    <w:rsid w:val="00034438"/>
    <w:rsid w:val="000443A4"/>
    <w:rsid w:val="00051104"/>
    <w:rsid w:val="00054840"/>
    <w:rsid w:val="00081E5B"/>
    <w:rsid w:val="00191CF1"/>
    <w:rsid w:val="00192188"/>
    <w:rsid w:val="00202AE6"/>
    <w:rsid w:val="00266121"/>
    <w:rsid w:val="00274682"/>
    <w:rsid w:val="00296445"/>
    <w:rsid w:val="002976C5"/>
    <w:rsid w:val="002B6211"/>
    <w:rsid w:val="002E2C48"/>
    <w:rsid w:val="00354F77"/>
    <w:rsid w:val="00382BBB"/>
    <w:rsid w:val="00391818"/>
    <w:rsid w:val="003B37D7"/>
    <w:rsid w:val="00427DD4"/>
    <w:rsid w:val="00494715"/>
    <w:rsid w:val="004D78EE"/>
    <w:rsid w:val="004E32E0"/>
    <w:rsid w:val="0057363A"/>
    <w:rsid w:val="00574F90"/>
    <w:rsid w:val="00586558"/>
    <w:rsid w:val="005C27EB"/>
    <w:rsid w:val="005D6322"/>
    <w:rsid w:val="005E713E"/>
    <w:rsid w:val="006662E7"/>
    <w:rsid w:val="00686DCF"/>
    <w:rsid w:val="0072693B"/>
    <w:rsid w:val="007418A4"/>
    <w:rsid w:val="00760D43"/>
    <w:rsid w:val="007D343F"/>
    <w:rsid w:val="0083266F"/>
    <w:rsid w:val="00842016"/>
    <w:rsid w:val="00895C5D"/>
    <w:rsid w:val="008A398C"/>
    <w:rsid w:val="008E1AF0"/>
    <w:rsid w:val="008F3876"/>
    <w:rsid w:val="00916E18"/>
    <w:rsid w:val="00955827"/>
    <w:rsid w:val="00974A4C"/>
    <w:rsid w:val="009A31C9"/>
    <w:rsid w:val="009B7D6C"/>
    <w:rsid w:val="009E47AE"/>
    <w:rsid w:val="00A101B8"/>
    <w:rsid w:val="00A6147B"/>
    <w:rsid w:val="00AC276E"/>
    <w:rsid w:val="00B13C38"/>
    <w:rsid w:val="00B64403"/>
    <w:rsid w:val="00B70A70"/>
    <w:rsid w:val="00B81458"/>
    <w:rsid w:val="00BC301D"/>
    <w:rsid w:val="00BF6B23"/>
    <w:rsid w:val="00C023A0"/>
    <w:rsid w:val="00C03AAD"/>
    <w:rsid w:val="00CE3345"/>
    <w:rsid w:val="00D9799C"/>
    <w:rsid w:val="00DE3BF9"/>
    <w:rsid w:val="00DE588F"/>
    <w:rsid w:val="00E31330"/>
    <w:rsid w:val="00EB6663"/>
    <w:rsid w:val="00EC0B8E"/>
    <w:rsid w:val="00ED60EA"/>
    <w:rsid w:val="00F3715E"/>
    <w:rsid w:val="00F522B6"/>
    <w:rsid w:val="00F73808"/>
    <w:rsid w:val="00FD0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5A752"/>
  <w15:docId w15:val="{FA15E465-905F-4FAE-A0F4-EA692EC5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2B6"/>
    <w:pPr>
      <w:jc w:val="both"/>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4"/>
    <w:rPr>
      <w:rFonts w:ascii="Tahoma" w:hAnsi="Tahoma" w:cs="Tahoma"/>
      <w:sz w:val="16"/>
      <w:szCs w:val="16"/>
    </w:rPr>
  </w:style>
  <w:style w:type="character" w:styleId="CommentReference">
    <w:name w:val="annotation reference"/>
    <w:basedOn w:val="DefaultParagraphFont"/>
    <w:uiPriority w:val="99"/>
    <w:semiHidden/>
    <w:unhideWhenUsed/>
    <w:rsid w:val="002976C5"/>
    <w:rPr>
      <w:sz w:val="16"/>
      <w:szCs w:val="16"/>
    </w:rPr>
  </w:style>
  <w:style w:type="paragraph" w:styleId="CommentText">
    <w:name w:val="annotation text"/>
    <w:basedOn w:val="Normal"/>
    <w:link w:val="CommentTextChar"/>
    <w:uiPriority w:val="99"/>
    <w:semiHidden/>
    <w:unhideWhenUsed/>
    <w:rsid w:val="002976C5"/>
    <w:pPr>
      <w:spacing w:line="240" w:lineRule="auto"/>
    </w:pPr>
    <w:rPr>
      <w:sz w:val="20"/>
      <w:szCs w:val="20"/>
    </w:rPr>
  </w:style>
  <w:style w:type="character" w:customStyle="1" w:styleId="CommentTextChar">
    <w:name w:val="Comment Text Char"/>
    <w:basedOn w:val="DefaultParagraphFont"/>
    <w:link w:val="CommentText"/>
    <w:uiPriority w:val="99"/>
    <w:semiHidden/>
    <w:rsid w:val="002976C5"/>
    <w:rPr>
      <w:sz w:val="20"/>
      <w:szCs w:val="20"/>
    </w:rPr>
  </w:style>
  <w:style w:type="paragraph" w:styleId="CommentSubject">
    <w:name w:val="annotation subject"/>
    <w:basedOn w:val="CommentText"/>
    <w:next w:val="CommentText"/>
    <w:link w:val="CommentSubjectChar"/>
    <w:uiPriority w:val="99"/>
    <w:semiHidden/>
    <w:unhideWhenUsed/>
    <w:rsid w:val="002976C5"/>
    <w:rPr>
      <w:b/>
      <w:bCs/>
    </w:rPr>
  </w:style>
  <w:style w:type="character" w:customStyle="1" w:styleId="CommentSubjectChar">
    <w:name w:val="Comment Subject Char"/>
    <w:basedOn w:val="CommentTextChar"/>
    <w:link w:val="CommentSubject"/>
    <w:uiPriority w:val="99"/>
    <w:semiHidden/>
    <w:rsid w:val="002976C5"/>
    <w:rPr>
      <w:b/>
      <w:bCs/>
      <w:sz w:val="20"/>
      <w:szCs w:val="20"/>
    </w:rPr>
  </w:style>
  <w:style w:type="paragraph" w:styleId="Header">
    <w:name w:val="header"/>
    <w:basedOn w:val="Normal"/>
    <w:link w:val="HeaderChar"/>
    <w:uiPriority w:val="99"/>
    <w:unhideWhenUsed/>
    <w:rsid w:val="007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3"/>
  </w:style>
  <w:style w:type="paragraph" w:styleId="Footer">
    <w:name w:val="footer"/>
    <w:basedOn w:val="Normal"/>
    <w:link w:val="FooterChar"/>
    <w:uiPriority w:val="99"/>
    <w:unhideWhenUsed/>
    <w:rsid w:val="007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3"/>
  </w:style>
  <w:style w:type="paragraph" w:styleId="BodyTextIndent2">
    <w:name w:val="Body Text Indent 2"/>
    <w:basedOn w:val="Normal"/>
    <w:link w:val="BodyTextIndent2Char"/>
    <w:rsid w:val="00974A4C"/>
    <w:pPr>
      <w:spacing w:after="0" w:line="240" w:lineRule="auto"/>
      <w:ind w:left="144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974A4C"/>
    <w:rPr>
      <w:rFonts w:ascii="Arial" w:eastAsia="Times New Roman" w:hAnsi="Arial" w:cs="Times New Roman"/>
      <w:sz w:val="20"/>
      <w:szCs w:val="20"/>
      <w:lang w:val="en-US"/>
    </w:rPr>
  </w:style>
  <w:style w:type="paragraph" w:styleId="Title">
    <w:name w:val="Title"/>
    <w:basedOn w:val="BodyTextIndent2"/>
    <w:next w:val="Normal"/>
    <w:link w:val="TitleChar"/>
    <w:uiPriority w:val="10"/>
    <w:qFormat/>
    <w:rsid w:val="00F522B6"/>
    <w:pPr>
      <w:ind w:left="0"/>
      <w:jc w:val="center"/>
    </w:pPr>
    <w:rPr>
      <w:rFonts w:cs="Arial"/>
      <w:b/>
      <w:color w:val="000000"/>
      <w:spacing w:val="20"/>
      <w:sz w:val="24"/>
      <w:szCs w:val="24"/>
      <w:lang w:val="en"/>
    </w:rPr>
  </w:style>
  <w:style w:type="character" w:customStyle="1" w:styleId="TitleChar">
    <w:name w:val="Title Char"/>
    <w:basedOn w:val="DefaultParagraphFont"/>
    <w:link w:val="Title"/>
    <w:uiPriority w:val="10"/>
    <w:rsid w:val="00F522B6"/>
    <w:rPr>
      <w:rFonts w:ascii="Arial" w:eastAsia="Times New Roman" w:hAnsi="Arial" w:cs="Arial"/>
      <w:b/>
      <w:color w:val="000000"/>
      <w:spacing w:val="20"/>
      <w:sz w:val="24"/>
      <w:szCs w:val="24"/>
      <w:lang w:val="en"/>
    </w:rPr>
  </w:style>
  <w:style w:type="character" w:customStyle="1" w:styleId="Heading1Char">
    <w:name w:val="Heading 1 Char"/>
    <w:basedOn w:val="DefaultParagraphFont"/>
    <w:link w:val="Heading1"/>
    <w:uiPriority w:val="9"/>
    <w:rsid w:val="00F522B6"/>
    <w:rPr>
      <w:rFonts w:ascii="Arial" w:hAnsi="Arial" w:cs="Arial"/>
      <w:b/>
      <w:sz w:val="24"/>
      <w:szCs w:val="24"/>
    </w:rPr>
  </w:style>
  <w:style w:type="paragraph" w:styleId="ListParagraph">
    <w:name w:val="List Paragraph"/>
    <w:basedOn w:val="Normal"/>
    <w:uiPriority w:val="34"/>
    <w:qFormat/>
    <w:rsid w:val="00F37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5980">
      <w:bodyDiv w:val="1"/>
      <w:marLeft w:val="0"/>
      <w:marRight w:val="0"/>
      <w:marTop w:val="0"/>
      <w:marBottom w:val="0"/>
      <w:divBdr>
        <w:top w:val="none" w:sz="0" w:space="0" w:color="auto"/>
        <w:left w:val="none" w:sz="0" w:space="0" w:color="auto"/>
        <w:bottom w:val="none" w:sz="0" w:space="0" w:color="auto"/>
        <w:right w:val="none" w:sz="0" w:space="0" w:color="auto"/>
      </w:divBdr>
    </w:div>
    <w:div w:id="19807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748.05C8AA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Settlement Conference Practice Direction French</vt:lpstr>
    </vt:vector>
  </TitlesOfParts>
  <Company>MGS</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Conference Practice Direction French</dc:title>
  <dc:creator>Cowan, Benson (MAG)</dc:creator>
  <cp:lastModifiedBy>Kappel, Alex (MAG)</cp:lastModifiedBy>
  <cp:revision>5</cp:revision>
  <cp:lastPrinted>2021-03-31T15:45:00Z</cp:lastPrinted>
  <dcterms:created xsi:type="dcterms:W3CDTF">2021-03-31T19:54:00Z</dcterms:created>
  <dcterms:modified xsi:type="dcterms:W3CDTF">2023-03-24T13:05:00Z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2023-03-21T19:34:51Z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696cb970-046a-48cb-a65e-dcc114960c53</vt:lpwstr>
  </property>
  <property fmtid="{D5CDD505-2E9C-101B-9397-08002B2CF9AE}" pid="8" name="MSIP_Label_034a106e-6316-442c-ad35-738afd673d2b_ContentBits">
    <vt:lpwstr>0</vt:lpwstr>
  </property>
</Properties>
</file>